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963C" w14:textId="77777777" w:rsidR="005A758D" w:rsidRDefault="005A758D">
      <w:pPr>
        <w:rPr>
          <w:b/>
          <w:bCs/>
          <w:sz w:val="32"/>
          <w:szCs w:val="32"/>
        </w:rPr>
      </w:pPr>
    </w:p>
    <w:p w14:paraId="469AF70F" w14:textId="02CB6D6D" w:rsidR="00613370" w:rsidRPr="005A72B1" w:rsidRDefault="00613370">
      <w:pPr>
        <w:rPr>
          <w:b/>
          <w:bCs/>
          <w:sz w:val="32"/>
          <w:szCs w:val="32"/>
        </w:rPr>
      </w:pPr>
      <w:r w:rsidRPr="005A72B1">
        <w:rPr>
          <w:b/>
          <w:bCs/>
          <w:sz w:val="32"/>
          <w:szCs w:val="32"/>
        </w:rPr>
        <w:t>APPG for Whistleblowing Annual Report</w:t>
      </w:r>
      <w:r w:rsidR="00B505E0" w:rsidRPr="005A72B1">
        <w:rPr>
          <w:b/>
          <w:bCs/>
          <w:sz w:val="32"/>
          <w:szCs w:val="32"/>
        </w:rPr>
        <w:t xml:space="preserve"> </w:t>
      </w:r>
      <w:r w:rsidR="00B505E0" w:rsidRPr="005A72B1">
        <w:rPr>
          <w:b/>
          <w:bCs/>
          <w:sz w:val="32"/>
          <w:szCs w:val="32"/>
        </w:rPr>
        <w:tab/>
      </w:r>
      <w:r w:rsidR="00B505E0" w:rsidRPr="005A72B1">
        <w:rPr>
          <w:b/>
          <w:bCs/>
          <w:sz w:val="32"/>
          <w:szCs w:val="32"/>
        </w:rPr>
        <w:tab/>
      </w:r>
      <w:r w:rsidR="00563E2F" w:rsidRPr="005A72B1">
        <w:rPr>
          <w:b/>
          <w:bCs/>
          <w:sz w:val="32"/>
          <w:szCs w:val="32"/>
        </w:rPr>
        <w:t>2</w:t>
      </w:r>
      <w:r w:rsidR="00D8613A">
        <w:rPr>
          <w:b/>
          <w:bCs/>
          <w:sz w:val="32"/>
          <w:szCs w:val="32"/>
        </w:rPr>
        <w:t>8</w:t>
      </w:r>
      <w:r w:rsidR="00563E2F" w:rsidRPr="005A72B1">
        <w:rPr>
          <w:b/>
          <w:bCs/>
          <w:sz w:val="32"/>
          <w:szCs w:val="32"/>
          <w:vertAlign w:val="superscript"/>
        </w:rPr>
        <w:t>th</w:t>
      </w:r>
      <w:r w:rsidR="00563E2F" w:rsidRPr="005A72B1">
        <w:rPr>
          <w:b/>
          <w:bCs/>
          <w:sz w:val="32"/>
          <w:szCs w:val="32"/>
        </w:rPr>
        <w:t xml:space="preserve"> February 2024</w:t>
      </w:r>
    </w:p>
    <w:p w14:paraId="4204E599" w14:textId="368A4BEB" w:rsidR="00613370" w:rsidRPr="00D17B84" w:rsidRDefault="00563E2F">
      <w:pPr>
        <w:rPr>
          <w:b/>
          <w:bCs/>
        </w:rPr>
      </w:pPr>
      <w:r w:rsidRPr="00D17B84">
        <w:rPr>
          <w:b/>
          <w:bCs/>
        </w:rPr>
        <w:t>Overview of the APPG and its work</w:t>
      </w:r>
    </w:p>
    <w:p w14:paraId="14F63FC7" w14:textId="1BF0BEBC" w:rsidR="00FA12A8" w:rsidRDefault="00613370">
      <w:r>
        <w:t>The APPG launched on 10</w:t>
      </w:r>
      <w:r w:rsidRPr="00613370">
        <w:rPr>
          <w:vertAlign w:val="superscript"/>
        </w:rPr>
        <w:t>th</w:t>
      </w:r>
      <w:r>
        <w:t xml:space="preserve"> July 2018</w:t>
      </w:r>
      <w:r w:rsidR="00563E2F">
        <w:t>, its objective is to champion whistleblowers and whistleblowing through the introduction of new legislation. Following an initial call to evidence the APPG produced 2 reports, The Personal Cost of Doing the Right Thing</w:t>
      </w:r>
      <w:r w:rsidR="000E193F">
        <w:t>,</w:t>
      </w:r>
      <w:r w:rsidR="00563E2F">
        <w:t xml:space="preserve"> and the Cost to Society of Ignoring It”, and “Making Whistleblowing Work”. These reports concluded that existing legislation, while well intentioned had failed to protect whistleblowers or </w:t>
      </w:r>
      <w:r w:rsidR="00FA12A8">
        <w:t>uphold the public interest.</w:t>
      </w:r>
    </w:p>
    <w:p w14:paraId="1F075C41" w14:textId="498E99EB" w:rsidR="00515E51" w:rsidRDefault="00FA12A8">
      <w:r>
        <w:t xml:space="preserve">As a result of the call to evidence the APPG </w:t>
      </w:r>
      <w:r w:rsidR="00515E51">
        <w:t xml:space="preserve">commissioned the secretariat to develop an alternative draft bill to address the key issues exposed in the call to evidence: </w:t>
      </w:r>
    </w:p>
    <w:p w14:paraId="364631D0" w14:textId="4B1DB10B" w:rsidR="00515E51" w:rsidRPr="005A72B1" w:rsidRDefault="00515E51" w:rsidP="00515E51">
      <w:pPr>
        <w:pStyle w:val="ListParagraph"/>
        <w:numPr>
          <w:ilvl w:val="0"/>
          <w:numId w:val="6"/>
        </w:numPr>
        <w:rPr>
          <w:i/>
          <w:iCs/>
        </w:rPr>
      </w:pPr>
      <w:r w:rsidRPr="005A72B1">
        <w:rPr>
          <w:i/>
          <w:iCs/>
        </w:rPr>
        <w:t xml:space="preserve">Give whistleblower rights and protection to every citizen and normalise speaking up. </w:t>
      </w:r>
    </w:p>
    <w:p w14:paraId="2F29A6BC" w14:textId="224AF095" w:rsidR="00563E2F" w:rsidRPr="005A72B1" w:rsidRDefault="00515E51" w:rsidP="00515E51">
      <w:pPr>
        <w:pStyle w:val="ListParagraph"/>
        <w:numPr>
          <w:ilvl w:val="0"/>
          <w:numId w:val="6"/>
        </w:numPr>
        <w:rPr>
          <w:i/>
          <w:iCs/>
        </w:rPr>
      </w:pPr>
      <w:r w:rsidRPr="005A72B1">
        <w:rPr>
          <w:i/>
          <w:iCs/>
        </w:rPr>
        <w:t>Ensure that protected disclosures are properly investigated.</w:t>
      </w:r>
    </w:p>
    <w:p w14:paraId="69B9C687" w14:textId="2E0C90DE" w:rsidR="00515E51" w:rsidRPr="005A72B1" w:rsidRDefault="00515E51" w:rsidP="00515E51">
      <w:pPr>
        <w:pStyle w:val="ListParagraph"/>
        <w:numPr>
          <w:ilvl w:val="0"/>
          <w:numId w:val="6"/>
        </w:numPr>
        <w:rPr>
          <w:i/>
          <w:iCs/>
        </w:rPr>
      </w:pPr>
      <w:r w:rsidRPr="005A72B1">
        <w:rPr>
          <w:i/>
          <w:iCs/>
        </w:rPr>
        <w:t>Hold to account individuals and organisations who retaliate against whistleblowers or cover up wrongdoing.</w:t>
      </w:r>
    </w:p>
    <w:p w14:paraId="2D1D95A6" w14:textId="33D8F0D5" w:rsidR="00515E51" w:rsidRPr="005A72B1" w:rsidRDefault="00515E51" w:rsidP="00515E51">
      <w:pPr>
        <w:pStyle w:val="ListParagraph"/>
        <w:numPr>
          <w:ilvl w:val="0"/>
          <w:numId w:val="6"/>
        </w:numPr>
        <w:rPr>
          <w:i/>
          <w:iCs/>
        </w:rPr>
      </w:pPr>
      <w:r w:rsidRPr="005A72B1">
        <w:rPr>
          <w:i/>
          <w:iCs/>
        </w:rPr>
        <w:t xml:space="preserve">Establish a centre of expertise to set, communicate and evaluate the effectiveness of whistleblowing policy, procedure and platforms and to support public and organisational awareness and compliance. </w:t>
      </w:r>
    </w:p>
    <w:p w14:paraId="1FE68BFE" w14:textId="49175663" w:rsidR="005A72B1" w:rsidRPr="005A72B1" w:rsidRDefault="005A72B1" w:rsidP="005A72B1">
      <w:pPr>
        <w:rPr>
          <w:b/>
          <w:bCs/>
        </w:rPr>
      </w:pPr>
      <w:r w:rsidRPr="005A72B1">
        <w:rPr>
          <w:b/>
          <w:bCs/>
        </w:rPr>
        <w:t>Whistleblowing Bill Progress</w:t>
      </w:r>
    </w:p>
    <w:p w14:paraId="134144A8" w14:textId="77777777" w:rsidR="005A72B1" w:rsidRDefault="00563E2F" w:rsidP="005A72B1">
      <w:pPr>
        <w:pStyle w:val="ListParagraph"/>
        <w:numPr>
          <w:ilvl w:val="0"/>
          <w:numId w:val="9"/>
        </w:numPr>
      </w:pPr>
      <w:r>
        <w:t>Th</w:t>
      </w:r>
      <w:r w:rsidR="005A72B1">
        <w:t>e</w:t>
      </w:r>
      <w:r>
        <w:t xml:space="preserve"> </w:t>
      </w:r>
      <w:r w:rsidR="005A72B1">
        <w:t>‘</w:t>
      </w:r>
      <w:r>
        <w:t>Whistleblowing Bill</w:t>
      </w:r>
      <w:r w:rsidR="005A72B1">
        <w:t>’</w:t>
      </w:r>
      <w:r w:rsidR="00515E51">
        <w:t xml:space="preserve"> was unanimously adopted by the APPG </w:t>
      </w:r>
      <w:r w:rsidR="00920C15">
        <w:t xml:space="preserve">at the AGM </w:t>
      </w:r>
      <w:r w:rsidR="00515E51">
        <w:t xml:space="preserve">in </w:t>
      </w:r>
      <w:r w:rsidR="00CC64D6">
        <w:t xml:space="preserve">June </w:t>
      </w:r>
      <w:r w:rsidR="00515E51">
        <w:t>2022</w:t>
      </w:r>
      <w:r w:rsidR="005A72B1">
        <w:t xml:space="preserve">. </w:t>
      </w:r>
    </w:p>
    <w:p w14:paraId="29C03E78" w14:textId="1F5822F1" w:rsidR="00920C15" w:rsidRDefault="005A72B1" w:rsidP="005A72B1">
      <w:pPr>
        <w:pStyle w:val="ListParagraph"/>
        <w:numPr>
          <w:ilvl w:val="0"/>
          <w:numId w:val="9"/>
        </w:numPr>
      </w:pPr>
      <w:r>
        <w:t xml:space="preserve">This Bill </w:t>
      </w:r>
      <w:r w:rsidR="00920C15">
        <w:t xml:space="preserve">was </w:t>
      </w:r>
      <w:proofErr w:type="spellStart"/>
      <w:r w:rsidR="00920C15">
        <w:t>re presented</w:t>
      </w:r>
      <w:proofErr w:type="spellEnd"/>
      <w:r w:rsidR="00920C15">
        <w:t xml:space="preserve"> to the </w:t>
      </w:r>
      <w:proofErr w:type="spellStart"/>
      <w:r w:rsidR="00920C15">
        <w:t>HoC</w:t>
      </w:r>
      <w:proofErr w:type="spellEnd"/>
      <w:r w:rsidR="00920C15">
        <w:t xml:space="preserve"> on 24</w:t>
      </w:r>
      <w:r w:rsidR="00920C15" w:rsidRPr="005A72B1">
        <w:rPr>
          <w:vertAlign w:val="superscript"/>
        </w:rPr>
        <w:t>th</w:t>
      </w:r>
      <w:r w:rsidR="00920C15">
        <w:t xml:space="preserve"> January as a PMB.</w:t>
      </w:r>
    </w:p>
    <w:p w14:paraId="75C29360" w14:textId="681FEB3B" w:rsidR="00920C15" w:rsidRDefault="00920C15" w:rsidP="005A72B1">
      <w:pPr>
        <w:pStyle w:val="ListParagraph"/>
        <w:numPr>
          <w:ilvl w:val="0"/>
          <w:numId w:val="9"/>
        </w:numPr>
      </w:pPr>
      <w:r w:rsidRPr="00920C15">
        <w:t>The Bil</w:t>
      </w:r>
      <w:r>
        <w:t>l</w:t>
      </w:r>
      <w:r w:rsidRPr="00920C15">
        <w:t xml:space="preserve"> is scheduled for a second reading on </w:t>
      </w:r>
      <w:r w:rsidR="004403DF" w:rsidRPr="0017080E">
        <w:t>22nd</w:t>
      </w:r>
      <w:r w:rsidRPr="00920C15">
        <w:t xml:space="preserve"> March</w:t>
      </w:r>
      <w:r w:rsidR="00A743FB">
        <w:t>?</w:t>
      </w:r>
    </w:p>
    <w:p w14:paraId="33352653" w14:textId="64002CC6" w:rsidR="00920C15" w:rsidRDefault="00920C15" w:rsidP="005A72B1">
      <w:pPr>
        <w:pStyle w:val="ListParagraph"/>
        <w:numPr>
          <w:ilvl w:val="0"/>
          <w:numId w:val="9"/>
        </w:numPr>
      </w:pPr>
      <w:r>
        <w:t>Since 24</w:t>
      </w:r>
      <w:r w:rsidRPr="005A72B1">
        <w:rPr>
          <w:vertAlign w:val="superscript"/>
        </w:rPr>
        <w:t>th</w:t>
      </w:r>
      <w:r>
        <w:t xml:space="preserve"> January (the presentation of the bill) we have received over 200 letters of support from the Public. </w:t>
      </w:r>
    </w:p>
    <w:p w14:paraId="27E72D9C" w14:textId="10064A02" w:rsidR="005A72B1" w:rsidRDefault="005A72B1" w:rsidP="005A72B1">
      <w:pPr>
        <w:pStyle w:val="ListParagraph"/>
        <w:numPr>
          <w:ilvl w:val="0"/>
          <w:numId w:val="9"/>
        </w:numPr>
      </w:pPr>
      <w:r>
        <w:t>Work is being done to develop the regulations and Iain Mitchell KC will take us through this when I hand over to the Secretariat.</w:t>
      </w:r>
    </w:p>
    <w:p w14:paraId="54C0F194" w14:textId="0FADA6DE" w:rsidR="00A743FB" w:rsidRDefault="00A743FB" w:rsidP="005A72B1">
      <w:pPr>
        <w:pStyle w:val="ListParagraph"/>
        <w:numPr>
          <w:ilvl w:val="0"/>
          <w:numId w:val="9"/>
        </w:numPr>
      </w:pPr>
      <w:r>
        <w:t>We have received almost 200 letters of support for the Whistleblowing Bill this week alone.</w:t>
      </w:r>
    </w:p>
    <w:p w14:paraId="68F4E723" w14:textId="24A516FE" w:rsidR="005A72B1" w:rsidRDefault="005A72B1" w:rsidP="005A72B1">
      <w:pPr>
        <w:rPr>
          <w:b/>
          <w:bCs/>
        </w:rPr>
      </w:pPr>
      <w:r w:rsidRPr="005A72B1">
        <w:rPr>
          <w:b/>
          <w:bCs/>
        </w:rPr>
        <w:t>Government WB Framework Review</w:t>
      </w:r>
    </w:p>
    <w:p w14:paraId="0841D0D8" w14:textId="15594688" w:rsidR="00A743FB" w:rsidRDefault="005A72B1" w:rsidP="005A72B1">
      <w:r>
        <w:t xml:space="preserve">The APPG sponsored the UK’s first Whistleblowing Awareness Week delivered by WhistleblowersUK on the Westminster Estate </w:t>
      </w:r>
      <w:r w:rsidR="008B418D">
        <w:t>from 20-24</w:t>
      </w:r>
      <w:r w:rsidR="008B418D" w:rsidRPr="008B418D">
        <w:rPr>
          <w:vertAlign w:val="superscript"/>
        </w:rPr>
        <w:t>th</w:t>
      </w:r>
      <w:r w:rsidR="008B418D">
        <w:t xml:space="preserve"> March 2023. This event resulted in the announcement by the Minister (former vice chair of the APPG) Kevin Hollinrake announcing the Framework review. </w:t>
      </w:r>
    </w:p>
    <w:p w14:paraId="7DA8D5B9" w14:textId="609326BB" w:rsidR="008B418D" w:rsidRDefault="008B418D" w:rsidP="005A72B1">
      <w:r>
        <w:t>The Govt. planned to complete the review by November 2023 this has slipped and is now expected in April 2024.</w:t>
      </w:r>
    </w:p>
    <w:p w14:paraId="62D9A29F" w14:textId="77777777" w:rsidR="00F570D1" w:rsidRDefault="00F570D1" w:rsidP="00F570D1">
      <w:r>
        <w:t>I met with the team conducting the review and I am confident that it corroborates the findings in our call to evidence and the proposals in the whistleblowing bill.</w:t>
      </w:r>
    </w:p>
    <w:p w14:paraId="4BEED505" w14:textId="36215781" w:rsidR="008B418D" w:rsidRDefault="008B418D" w:rsidP="005A72B1">
      <w:r>
        <w:t>The APPG has been approached by the media and are working with our secretariat to produce both TV and printed article to coincide with the report.</w:t>
      </w:r>
    </w:p>
    <w:p w14:paraId="719BEF5F" w14:textId="77777777" w:rsidR="00B6549D" w:rsidRDefault="00B6549D">
      <w:pPr>
        <w:rPr>
          <w:b/>
          <w:bCs/>
        </w:rPr>
      </w:pPr>
    </w:p>
    <w:p w14:paraId="1F055D33" w14:textId="77777777" w:rsidR="00B6549D" w:rsidRDefault="00B6549D">
      <w:pPr>
        <w:rPr>
          <w:b/>
          <w:bCs/>
        </w:rPr>
      </w:pPr>
    </w:p>
    <w:p w14:paraId="2E5C6720" w14:textId="77777777" w:rsidR="00B6549D" w:rsidRDefault="00B6549D">
      <w:pPr>
        <w:rPr>
          <w:b/>
          <w:bCs/>
        </w:rPr>
      </w:pPr>
    </w:p>
    <w:p w14:paraId="78D2CAB6" w14:textId="2BD53B9B" w:rsidR="00920C15" w:rsidRPr="00920C15" w:rsidRDefault="00920C15">
      <w:pPr>
        <w:rPr>
          <w:b/>
          <w:bCs/>
        </w:rPr>
      </w:pPr>
      <w:r w:rsidRPr="00920C15">
        <w:rPr>
          <w:b/>
          <w:bCs/>
        </w:rPr>
        <w:t xml:space="preserve">Action since the last AGM </w:t>
      </w:r>
    </w:p>
    <w:p w14:paraId="37532F9D" w14:textId="4FA36DCD" w:rsidR="00920C15" w:rsidRDefault="00920C15" w:rsidP="007D59C0">
      <w:pPr>
        <w:pStyle w:val="ListParagraph"/>
        <w:numPr>
          <w:ilvl w:val="0"/>
          <w:numId w:val="7"/>
        </w:numPr>
      </w:pPr>
      <w:r>
        <w:t>Changes to APPG rules – we have taken a</w:t>
      </w:r>
      <w:r w:rsidR="007D59C0">
        <w:t xml:space="preserve">ppropriate </w:t>
      </w:r>
      <w:r>
        <w:t>steps to comply.</w:t>
      </w:r>
    </w:p>
    <w:p w14:paraId="767D4087" w14:textId="02382BD6" w:rsidR="00920C15" w:rsidRDefault="00920C15" w:rsidP="007D59C0">
      <w:pPr>
        <w:pStyle w:val="ListParagraph"/>
        <w:numPr>
          <w:ilvl w:val="0"/>
          <w:numId w:val="7"/>
        </w:numPr>
      </w:pPr>
      <w:r>
        <w:t xml:space="preserve">The call to evidence remains ongoing and we receive enquiries and new case studies every week.  </w:t>
      </w:r>
    </w:p>
    <w:p w14:paraId="7BE2D460" w14:textId="1C52D748" w:rsidR="00F570D1" w:rsidRDefault="00F570D1" w:rsidP="007D59C0">
      <w:pPr>
        <w:pStyle w:val="ListParagraph"/>
        <w:numPr>
          <w:ilvl w:val="0"/>
          <w:numId w:val="7"/>
        </w:numPr>
      </w:pPr>
      <w:r>
        <w:t>Round table discussions</w:t>
      </w:r>
      <w:r w:rsidR="004403DF">
        <w:t xml:space="preserve"> including - Dr Bill Kirkup, Speakers Conference</w:t>
      </w:r>
    </w:p>
    <w:p w14:paraId="0D7217C2" w14:textId="3A6B6DF3" w:rsidR="00F570D1" w:rsidRDefault="00F570D1" w:rsidP="007D59C0">
      <w:pPr>
        <w:pStyle w:val="ListParagraph"/>
        <w:numPr>
          <w:ilvl w:val="0"/>
          <w:numId w:val="7"/>
        </w:numPr>
      </w:pPr>
      <w:r>
        <w:t>Meetings with regulators including; CQC, Health Commissioner, MoD, CMA and FCA</w:t>
      </w:r>
      <w:r w:rsidR="004403DF">
        <w:t xml:space="preserve">. </w:t>
      </w:r>
    </w:p>
    <w:p w14:paraId="2297976E" w14:textId="0A652EC4" w:rsidR="004403DF" w:rsidRDefault="004403DF" w:rsidP="007D59C0">
      <w:pPr>
        <w:pStyle w:val="ListParagraph"/>
        <w:numPr>
          <w:ilvl w:val="0"/>
          <w:numId w:val="7"/>
        </w:numPr>
      </w:pPr>
      <w:r>
        <w:t xml:space="preserve">Meetings with SEC, </w:t>
      </w:r>
      <w:proofErr w:type="spellStart"/>
      <w:r>
        <w:t>DoJ</w:t>
      </w:r>
      <w:proofErr w:type="spellEnd"/>
      <w:r>
        <w:t>, CFTC and Onterio Securities Commission researching rewards and compensation. This work is ongoing. (Secretariat)</w:t>
      </w:r>
    </w:p>
    <w:p w14:paraId="37F68247" w14:textId="3508EA25" w:rsidR="00CC64D6" w:rsidRDefault="007D59C0" w:rsidP="007D59C0">
      <w:pPr>
        <w:pStyle w:val="ListParagraph"/>
        <w:numPr>
          <w:ilvl w:val="0"/>
          <w:numId w:val="7"/>
        </w:numPr>
      </w:pPr>
      <w:r>
        <w:t>S</w:t>
      </w:r>
      <w:r w:rsidR="00CC64D6">
        <w:t xml:space="preserve">upported by WhistleblowersUK ran the UK’s first Whistleblowing Awareness Week in March 2023 and followed up with a second event over two days in November 2023. </w:t>
      </w:r>
    </w:p>
    <w:p w14:paraId="59926BA9" w14:textId="0962B3F2" w:rsidR="00CC64D6" w:rsidRDefault="00CC64D6" w:rsidP="007D59C0">
      <w:pPr>
        <w:pStyle w:val="ListParagraph"/>
        <w:numPr>
          <w:ilvl w:val="0"/>
          <w:numId w:val="7"/>
        </w:numPr>
      </w:pPr>
      <w:r>
        <w:t xml:space="preserve">The events were attended by over </w:t>
      </w:r>
      <w:r w:rsidR="00920C15">
        <w:t>1000</w:t>
      </w:r>
      <w:r>
        <w:t xml:space="preserve"> members of the public, parliamentarians, regulators, academics and industry experts. </w:t>
      </w:r>
    </w:p>
    <w:p w14:paraId="3E3D4AF7" w14:textId="7C8BF047" w:rsidR="007D59C0" w:rsidRDefault="007D59C0" w:rsidP="007D59C0">
      <w:pPr>
        <w:pStyle w:val="ListParagraph"/>
        <w:numPr>
          <w:ilvl w:val="0"/>
          <w:numId w:val="7"/>
        </w:numPr>
      </w:pPr>
      <w:r>
        <w:t>Our members have participated in Westminster Hall and other debates raising whistleblowing and associated subjects, e.g. NDA’s, Tech, Bully &amp; Harassment</w:t>
      </w:r>
    </w:p>
    <w:p w14:paraId="1E38D8E7" w14:textId="221A3FCE" w:rsidR="007D59C0" w:rsidRDefault="007D59C0" w:rsidP="007D59C0">
      <w:pPr>
        <w:pStyle w:val="ListParagraph"/>
        <w:numPr>
          <w:ilvl w:val="0"/>
          <w:numId w:val="7"/>
        </w:numPr>
      </w:pPr>
      <w:r>
        <w:t>The British Computer Society voted to support the Whistleblowing Bill.</w:t>
      </w:r>
    </w:p>
    <w:p w14:paraId="1BE216C7" w14:textId="3ABF182A" w:rsidR="007D59C0" w:rsidRDefault="007D59C0" w:rsidP="007D59C0">
      <w:pPr>
        <w:pStyle w:val="ListParagraph"/>
        <w:numPr>
          <w:ilvl w:val="0"/>
          <w:numId w:val="7"/>
        </w:numPr>
      </w:pPr>
      <w:r>
        <w:t>Our work is being supported by groups representing Grenfell Tower and organisations including Can’t Buy My Silence.</w:t>
      </w:r>
    </w:p>
    <w:p w14:paraId="129BB9BB" w14:textId="553F7F57" w:rsidR="00F570D1" w:rsidRDefault="00F570D1" w:rsidP="007D59C0">
      <w:pPr>
        <w:pStyle w:val="ListParagraph"/>
        <w:numPr>
          <w:ilvl w:val="0"/>
          <w:numId w:val="7"/>
        </w:numPr>
      </w:pPr>
      <w:r>
        <w:t>Submissions to select committee</w:t>
      </w:r>
      <w:r w:rsidR="004403DF">
        <w:t>s</w:t>
      </w:r>
      <w:r>
        <w:t xml:space="preserve"> and other enquiries</w:t>
      </w:r>
      <w:r w:rsidR="004403DF">
        <w:t>, Health and Court Fees next week.</w:t>
      </w:r>
    </w:p>
    <w:p w14:paraId="4111B2AF" w14:textId="56E641FF" w:rsidR="004403DF" w:rsidRDefault="004403DF" w:rsidP="007D59C0">
      <w:pPr>
        <w:pStyle w:val="ListParagraph"/>
        <w:numPr>
          <w:ilvl w:val="0"/>
          <w:numId w:val="7"/>
        </w:numPr>
      </w:pPr>
      <w:r>
        <w:t>Support provided to MP offices by secretariat.</w:t>
      </w:r>
    </w:p>
    <w:p w14:paraId="65B4F4B5" w14:textId="324445F0" w:rsidR="007D59C0" w:rsidRDefault="007D59C0" w:rsidP="007D59C0">
      <w:pPr>
        <w:pStyle w:val="ListParagraph"/>
        <w:numPr>
          <w:ilvl w:val="0"/>
          <w:numId w:val="7"/>
        </w:numPr>
      </w:pPr>
      <w:r>
        <w:t xml:space="preserve">Our work has been referenced on TV and in the Media. Both </w:t>
      </w:r>
      <w:proofErr w:type="spellStart"/>
      <w:r>
        <w:t>SkyNews</w:t>
      </w:r>
      <w:proofErr w:type="spellEnd"/>
      <w:r>
        <w:t xml:space="preserve"> and BBC are hoping to produce reports in the next 3 months.</w:t>
      </w:r>
    </w:p>
    <w:p w14:paraId="515EE6FA" w14:textId="3354F76C" w:rsidR="00BF3F7B" w:rsidRDefault="00BF3F7B" w:rsidP="00904CC2">
      <w:pPr>
        <w:pStyle w:val="ListParagraph"/>
      </w:pPr>
    </w:p>
    <w:p w14:paraId="423B407C" w14:textId="320C660F" w:rsidR="00904CC2" w:rsidRDefault="00F570D1" w:rsidP="00FF20DD">
      <w:pPr>
        <w:pStyle w:val="ListParagraph"/>
        <w:numPr>
          <w:ilvl w:val="0"/>
          <w:numId w:val="8"/>
        </w:numPr>
        <w:rPr>
          <w:b/>
          <w:bCs/>
        </w:rPr>
      </w:pPr>
      <w:r w:rsidRPr="00A743FB">
        <w:rPr>
          <w:b/>
          <w:bCs/>
        </w:rPr>
        <w:t>Call for action from members</w:t>
      </w:r>
      <w:r w:rsidR="00B6549D">
        <w:rPr>
          <w:b/>
          <w:bCs/>
        </w:rPr>
        <w:t>!</w:t>
      </w:r>
    </w:p>
    <w:p w14:paraId="3B53E80C" w14:textId="77777777" w:rsidR="00FF20DD" w:rsidRPr="00FF20DD" w:rsidRDefault="00FF20DD" w:rsidP="00FF20DD">
      <w:pPr>
        <w:pStyle w:val="ListParagraph"/>
        <w:rPr>
          <w:b/>
          <w:bCs/>
        </w:rPr>
      </w:pPr>
    </w:p>
    <w:p w14:paraId="4D9EE824" w14:textId="1C59F0CF" w:rsidR="004403DF" w:rsidRDefault="004403DF" w:rsidP="004403DF">
      <w:pPr>
        <w:pStyle w:val="ListParagraph"/>
        <w:numPr>
          <w:ilvl w:val="0"/>
          <w:numId w:val="10"/>
        </w:numPr>
      </w:pPr>
      <w:r>
        <w:t>Recruit New Members</w:t>
      </w:r>
    </w:p>
    <w:p w14:paraId="34CEF0DA" w14:textId="1CF9D83F" w:rsidR="004403DF" w:rsidRDefault="004403DF" w:rsidP="004403DF">
      <w:pPr>
        <w:pStyle w:val="ListParagraph"/>
        <w:numPr>
          <w:ilvl w:val="0"/>
          <w:numId w:val="10"/>
        </w:numPr>
      </w:pPr>
      <w:r>
        <w:t>Identify opportunities to promote our work</w:t>
      </w:r>
      <w:r w:rsidR="00FF20DD">
        <w:t>.</w:t>
      </w:r>
    </w:p>
    <w:p w14:paraId="1B6207F4" w14:textId="138BA425" w:rsidR="00FF20DD" w:rsidRDefault="00FF20DD" w:rsidP="004403DF">
      <w:pPr>
        <w:pStyle w:val="ListParagraph"/>
        <w:numPr>
          <w:ilvl w:val="0"/>
          <w:numId w:val="10"/>
        </w:numPr>
      </w:pPr>
      <w:r>
        <w:t>Develop a fundraising plan.</w:t>
      </w:r>
    </w:p>
    <w:p w14:paraId="0F9AAEB6" w14:textId="77777777" w:rsidR="00A743FB" w:rsidRDefault="00A743FB" w:rsidP="00A743FB">
      <w:pPr>
        <w:pStyle w:val="ListParagraph"/>
      </w:pPr>
    </w:p>
    <w:p w14:paraId="582B5B98" w14:textId="5052611C" w:rsidR="00B505E0" w:rsidRPr="00A743FB" w:rsidRDefault="00B505E0" w:rsidP="00A743FB">
      <w:pPr>
        <w:pStyle w:val="ListParagraph"/>
        <w:numPr>
          <w:ilvl w:val="0"/>
          <w:numId w:val="8"/>
        </w:numPr>
        <w:rPr>
          <w:b/>
          <w:bCs/>
        </w:rPr>
      </w:pPr>
      <w:r w:rsidRPr="00A743FB">
        <w:rPr>
          <w:b/>
          <w:bCs/>
        </w:rPr>
        <w:t xml:space="preserve">Acknowledgements </w:t>
      </w:r>
      <w:r w:rsidR="007904E2">
        <w:rPr>
          <w:b/>
          <w:bCs/>
        </w:rPr>
        <w:t xml:space="preserve">and thanks </w:t>
      </w:r>
      <w:r w:rsidRPr="00A743FB">
        <w:rPr>
          <w:b/>
          <w:bCs/>
        </w:rPr>
        <w:t>to:</w:t>
      </w:r>
    </w:p>
    <w:p w14:paraId="24914A6B" w14:textId="35C88C41" w:rsidR="00DB4048" w:rsidRDefault="00F570D1" w:rsidP="00B505E0">
      <w:r>
        <w:t>All members</w:t>
      </w:r>
      <w:r w:rsidR="004403DF">
        <w:t xml:space="preserve"> past and present</w:t>
      </w:r>
      <w:r>
        <w:t>, supporters and whistleblowers</w:t>
      </w:r>
      <w:r w:rsidR="00DB4048">
        <w:t>.</w:t>
      </w:r>
    </w:p>
    <w:p w14:paraId="06FCE3F1" w14:textId="576E75A2" w:rsidR="00DB4048" w:rsidRPr="00DB4048" w:rsidRDefault="00DB4048" w:rsidP="00B505E0">
      <w:r>
        <w:t>WhistleblowersUK</w:t>
      </w:r>
      <w:r w:rsidR="007904E2">
        <w:t xml:space="preserve"> for their support, professionalism and ongoing enthusiasm. </w:t>
      </w:r>
    </w:p>
    <w:p w14:paraId="64F123F6" w14:textId="7BE360ED" w:rsidR="00A743FB" w:rsidRPr="00A743FB" w:rsidRDefault="00A743FB" w:rsidP="007904E2">
      <w:pPr>
        <w:pStyle w:val="ListParagraph"/>
        <w:rPr>
          <w:b/>
          <w:bCs/>
        </w:rPr>
      </w:pPr>
    </w:p>
    <w:sectPr w:rsidR="00A743FB" w:rsidRPr="00A743F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7C128" w14:textId="77777777" w:rsidR="00442A8A" w:rsidRDefault="00442A8A" w:rsidP="004403DF">
      <w:pPr>
        <w:spacing w:after="0" w:line="240" w:lineRule="auto"/>
      </w:pPr>
      <w:r>
        <w:separator/>
      </w:r>
    </w:p>
  </w:endnote>
  <w:endnote w:type="continuationSeparator" w:id="0">
    <w:p w14:paraId="67D976ED" w14:textId="77777777" w:rsidR="00442A8A" w:rsidRDefault="00442A8A" w:rsidP="0044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FDA7" w14:textId="50327E36" w:rsidR="004403DF" w:rsidRDefault="00000000">
    <w:pPr>
      <w:pStyle w:val="Footer"/>
    </w:pPr>
    <w:hyperlink r:id="rId1" w:history="1">
      <w:r w:rsidR="004403DF" w:rsidRPr="00970E1D">
        <w:rPr>
          <w:rStyle w:val="Hyperlink"/>
        </w:rPr>
        <w:t>www.appgwhistleblowing.co.uk</w:t>
      </w:r>
    </w:hyperlink>
    <w:r w:rsidR="004403DF">
      <w:tab/>
      <w:t xml:space="preserve">           contact:secretary@wbuk.org</w:t>
    </w:r>
    <w:r w:rsidR="004403DF">
      <w:tab/>
    </w:r>
    <w:hyperlink r:id="rId2" w:history="1">
      <w:r w:rsidR="004403DF" w:rsidRPr="00970E1D">
        <w:rPr>
          <w:rStyle w:val="Hyperlink"/>
        </w:rPr>
        <w:t>www.wbuk.org</w:t>
      </w:r>
    </w:hyperlink>
    <w:r w:rsidR="004403D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F1B6" w14:textId="77777777" w:rsidR="00442A8A" w:rsidRDefault="00442A8A" w:rsidP="004403DF">
      <w:pPr>
        <w:spacing w:after="0" w:line="240" w:lineRule="auto"/>
      </w:pPr>
      <w:r>
        <w:separator/>
      </w:r>
    </w:p>
  </w:footnote>
  <w:footnote w:type="continuationSeparator" w:id="0">
    <w:p w14:paraId="4C861C87" w14:textId="77777777" w:rsidR="00442A8A" w:rsidRDefault="00442A8A" w:rsidP="0044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EE7D" w14:textId="6229BB34" w:rsidR="004403DF" w:rsidRDefault="004403DF">
    <w:pPr>
      <w:pStyle w:val="Header"/>
    </w:pPr>
    <w:r>
      <w:rPr>
        <w:noProof/>
      </w:rPr>
      <w:drawing>
        <wp:inline distT="0" distB="0" distL="0" distR="0" wp14:anchorId="689033D1" wp14:editId="4FA6E326">
          <wp:extent cx="1876025" cy="587375"/>
          <wp:effectExtent l="0" t="0" r="0" b="3175"/>
          <wp:docPr id="1336597822" name="Picture 1" descr="A black and blue rectangl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6597822" name="Picture 1" descr="A black and blue rectangle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168" cy="588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5FFB4C5" wp14:editId="6D1B0B2D">
          <wp:extent cx="1923415" cy="511547"/>
          <wp:effectExtent l="0" t="0" r="635" b="3175"/>
          <wp:docPr id="1405826568" name="Picture 2" descr="A red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5826568" name="Picture 2" descr="A red and black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893" cy="521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747F"/>
    <w:multiLevelType w:val="hybridMultilevel"/>
    <w:tmpl w:val="FE905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85573"/>
    <w:multiLevelType w:val="hybridMultilevel"/>
    <w:tmpl w:val="CFAEC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F7F08"/>
    <w:multiLevelType w:val="hybridMultilevel"/>
    <w:tmpl w:val="73809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F5ADC"/>
    <w:multiLevelType w:val="hybridMultilevel"/>
    <w:tmpl w:val="0A70B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D6922"/>
    <w:multiLevelType w:val="hybridMultilevel"/>
    <w:tmpl w:val="0E52C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674E2"/>
    <w:multiLevelType w:val="hybridMultilevel"/>
    <w:tmpl w:val="91B2F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51A7C"/>
    <w:multiLevelType w:val="hybridMultilevel"/>
    <w:tmpl w:val="8CFC2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06E61"/>
    <w:multiLevelType w:val="hybridMultilevel"/>
    <w:tmpl w:val="82825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F25F8"/>
    <w:multiLevelType w:val="hybridMultilevel"/>
    <w:tmpl w:val="A9C69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84B"/>
    <w:multiLevelType w:val="hybridMultilevel"/>
    <w:tmpl w:val="01162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675532">
    <w:abstractNumId w:val="6"/>
  </w:num>
  <w:num w:numId="2" w16cid:durableId="462503698">
    <w:abstractNumId w:val="5"/>
  </w:num>
  <w:num w:numId="3" w16cid:durableId="2036925313">
    <w:abstractNumId w:val="4"/>
  </w:num>
  <w:num w:numId="4" w16cid:durableId="594020151">
    <w:abstractNumId w:val="2"/>
  </w:num>
  <w:num w:numId="5" w16cid:durableId="661811988">
    <w:abstractNumId w:val="1"/>
  </w:num>
  <w:num w:numId="6" w16cid:durableId="1277634745">
    <w:abstractNumId w:val="9"/>
  </w:num>
  <w:num w:numId="7" w16cid:durableId="676152959">
    <w:abstractNumId w:val="0"/>
  </w:num>
  <w:num w:numId="8" w16cid:durableId="634801884">
    <w:abstractNumId w:val="3"/>
  </w:num>
  <w:num w:numId="9" w16cid:durableId="2015641233">
    <w:abstractNumId w:val="7"/>
  </w:num>
  <w:num w:numId="10" w16cid:durableId="18670206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70"/>
    <w:rsid w:val="000E193F"/>
    <w:rsid w:val="00131235"/>
    <w:rsid w:val="0017080E"/>
    <w:rsid w:val="003737B5"/>
    <w:rsid w:val="004403DF"/>
    <w:rsid w:val="00442A8A"/>
    <w:rsid w:val="004E5433"/>
    <w:rsid w:val="00515E51"/>
    <w:rsid w:val="005378FD"/>
    <w:rsid w:val="00563E2F"/>
    <w:rsid w:val="005A72B1"/>
    <w:rsid w:val="005A758D"/>
    <w:rsid w:val="00613370"/>
    <w:rsid w:val="0069535C"/>
    <w:rsid w:val="00753865"/>
    <w:rsid w:val="007904E2"/>
    <w:rsid w:val="007D59C0"/>
    <w:rsid w:val="008B418D"/>
    <w:rsid w:val="00904CC2"/>
    <w:rsid w:val="00920C15"/>
    <w:rsid w:val="009A3BC2"/>
    <w:rsid w:val="00A743FB"/>
    <w:rsid w:val="00B505E0"/>
    <w:rsid w:val="00B6549D"/>
    <w:rsid w:val="00B974DB"/>
    <w:rsid w:val="00BF3F7B"/>
    <w:rsid w:val="00CC64D6"/>
    <w:rsid w:val="00D17B84"/>
    <w:rsid w:val="00D8613A"/>
    <w:rsid w:val="00DB4048"/>
    <w:rsid w:val="00F570D1"/>
    <w:rsid w:val="00FA12A8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515A4"/>
  <w15:chartTrackingRefBased/>
  <w15:docId w15:val="{58A111CB-7AFD-4E0D-AF23-F2A5ECBD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3DF"/>
  </w:style>
  <w:style w:type="paragraph" w:styleId="Footer">
    <w:name w:val="footer"/>
    <w:basedOn w:val="Normal"/>
    <w:link w:val="FooterChar"/>
    <w:uiPriority w:val="99"/>
    <w:unhideWhenUsed/>
    <w:rsid w:val="0044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3DF"/>
  </w:style>
  <w:style w:type="character" w:styleId="Hyperlink">
    <w:name w:val="Hyperlink"/>
    <w:basedOn w:val="DefaultParagraphFont"/>
    <w:uiPriority w:val="99"/>
    <w:unhideWhenUsed/>
    <w:rsid w:val="004403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buk.org" TargetMode="External"/><Relationship Id="rId1" Type="http://schemas.openxmlformats.org/officeDocument/2006/relationships/hyperlink" Target="http://www.appgwhistleblowing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</dc:creator>
  <cp:keywords/>
  <dc:description/>
  <cp:lastModifiedBy>Georgina Halford-Hall</cp:lastModifiedBy>
  <cp:revision>10</cp:revision>
  <dcterms:created xsi:type="dcterms:W3CDTF">2024-02-26T14:11:00Z</dcterms:created>
  <dcterms:modified xsi:type="dcterms:W3CDTF">2024-03-21T15:58:00Z</dcterms:modified>
</cp:coreProperties>
</file>